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D" w:rsidRDefault="00D37C9D" w:rsidP="00333F99">
      <w:pPr>
        <w:spacing w:after="0" w:line="240" w:lineRule="auto"/>
        <w:jc w:val="center"/>
      </w:pPr>
      <w:r w:rsidRPr="00D37C9D">
        <w:rPr>
          <w:b/>
          <w:sz w:val="28"/>
          <w:szCs w:val="28"/>
          <w:u w:val="single"/>
        </w:rPr>
        <w:t>SUSTANTIVOS.</w:t>
      </w:r>
    </w:p>
    <w:p w:rsidR="00D37C9D" w:rsidRPr="00333F99" w:rsidRDefault="00D37C9D" w:rsidP="00333F99">
      <w:pPr>
        <w:spacing w:after="0" w:line="240" w:lineRule="auto"/>
        <w:jc w:val="both"/>
        <w:rPr>
          <w:b/>
        </w:rPr>
      </w:pPr>
      <w:r w:rsidRPr="00333F99">
        <w:rPr>
          <w:b/>
        </w:rPr>
        <w:t>DEFINICIÓN Y CARACTERÍSTICAS</w:t>
      </w:r>
    </w:p>
    <w:p w:rsidR="00D37C9D" w:rsidRDefault="00D37C9D" w:rsidP="00333F99">
      <w:pPr>
        <w:spacing w:after="0" w:line="240" w:lineRule="auto"/>
        <w:jc w:val="both"/>
      </w:pPr>
      <w:r>
        <w:t xml:space="preserve">Se llama nombres o sustantivos a las palabras que se utilizan para designar personas, animales, o cosas (reales o imaginarias), es decir, conceptos independientes a los que se les puede adjudicar una acción o una cualidad. </w:t>
      </w:r>
    </w:p>
    <w:p w:rsidR="00333F99" w:rsidRDefault="00333F99" w:rsidP="00333F99">
      <w:pPr>
        <w:spacing w:after="0" w:line="240" w:lineRule="auto"/>
        <w:jc w:val="both"/>
        <w:rPr>
          <w:b/>
        </w:rPr>
      </w:pPr>
    </w:p>
    <w:p w:rsidR="00D37C9D" w:rsidRPr="00D37C9D" w:rsidRDefault="00D37C9D" w:rsidP="00333F99">
      <w:pPr>
        <w:spacing w:after="0" w:line="240" w:lineRule="auto"/>
        <w:jc w:val="both"/>
        <w:rPr>
          <w:b/>
        </w:rPr>
      </w:pPr>
      <w:r w:rsidRPr="00D37C9D">
        <w:rPr>
          <w:b/>
        </w:rPr>
        <w:t>EL GÉNERO</w:t>
      </w:r>
    </w:p>
    <w:p w:rsidR="00D37C9D" w:rsidRDefault="00D37C9D" w:rsidP="00333F99">
      <w:pPr>
        <w:spacing w:after="0" w:line="240" w:lineRule="auto"/>
        <w:jc w:val="both"/>
      </w:pPr>
      <w:r>
        <w:t xml:space="preserve">La característica morfológica principal del sustantivo es que posee un género propio y único, ya sea masculino, ya sea femenino: </w:t>
      </w:r>
    </w:p>
    <w:p w:rsidR="00D37C9D" w:rsidRDefault="00D37C9D" w:rsidP="00333F99">
      <w:pPr>
        <w:spacing w:after="0" w:line="240" w:lineRule="auto"/>
        <w:jc w:val="both"/>
      </w:pPr>
      <w:r>
        <w:t xml:space="preserve">Por ejemplo, el sustantivo "mesa" es femenino y de ningún modo puede ser masculino. </w:t>
      </w:r>
    </w:p>
    <w:p w:rsidR="00D37C9D" w:rsidRDefault="00D37C9D" w:rsidP="00333F99">
      <w:pPr>
        <w:spacing w:after="0" w:line="240" w:lineRule="auto"/>
        <w:jc w:val="both"/>
      </w:pPr>
      <w:r>
        <w:t xml:space="preserve">Sin embargo, encontramos algunos casos particulares: los sustantivos de género común, los ambiguos y los epicenos. </w:t>
      </w:r>
    </w:p>
    <w:p w:rsidR="00D37C9D" w:rsidRPr="00333F99" w:rsidRDefault="00D37C9D" w:rsidP="00333F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33F99">
        <w:rPr>
          <w:b/>
        </w:rPr>
        <w:t xml:space="preserve">SUSTANTIVOS DE GÉNERO COMÚN </w:t>
      </w:r>
    </w:p>
    <w:p w:rsidR="00D37C9D" w:rsidRDefault="00D37C9D" w:rsidP="00333F99">
      <w:pPr>
        <w:spacing w:after="0" w:line="240" w:lineRule="auto"/>
        <w:jc w:val="both"/>
      </w:pPr>
      <w:r>
        <w:t xml:space="preserve">Son aquellos que con la misma forma designan tanto a un hombre como a una mujer y que distinguen el sexo, por tanto, mediante el artículo: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mártir -&gt; la mártir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homicida -&gt; la homicida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intendente -&gt; la intendente </w:t>
      </w:r>
    </w:p>
    <w:p w:rsidR="00D37C9D" w:rsidRPr="00333F99" w:rsidRDefault="00D37C9D" w:rsidP="00333F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33F99">
        <w:rPr>
          <w:b/>
        </w:rPr>
        <w:t xml:space="preserve">SUSTANTIVOS DE GÉNERO EPICENO </w:t>
      </w:r>
    </w:p>
    <w:p w:rsidR="00D37C9D" w:rsidRDefault="00D37C9D" w:rsidP="00333F99">
      <w:pPr>
        <w:spacing w:after="0" w:line="240" w:lineRule="auto"/>
        <w:jc w:val="both"/>
      </w:pPr>
      <w:r>
        <w:t xml:space="preserve">Se diferencian de los anteriores en cuanto denotan nombres de animales y llevan igual artículo para el macho que para la hembra. En este caso, como el artículo no hace distinción, es necesario agregar los sustantivos "macho" o "hembra" para diferenciar de qué sexo se trata: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águila macho y el águila hembra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perdiz macho y la perdiz hembra </w:t>
      </w:r>
    </w:p>
    <w:p w:rsidR="00D37C9D" w:rsidRPr="00333F99" w:rsidRDefault="00D37C9D" w:rsidP="00333F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33F99">
        <w:rPr>
          <w:b/>
        </w:rPr>
        <w:t xml:space="preserve">SUSTANTIVOS DE GÉNERO AMBIGUO </w:t>
      </w:r>
    </w:p>
    <w:p w:rsidR="00D37C9D" w:rsidRDefault="00D37C9D" w:rsidP="00333F99">
      <w:pPr>
        <w:spacing w:after="0" w:line="240" w:lineRule="auto"/>
        <w:jc w:val="both"/>
      </w:pPr>
      <w:r>
        <w:t xml:space="preserve">Son aquellos que suelen usarse indistintamente con el artículo masculino o femenino: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azúcar, la azúcar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margen, la margen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lente, la lente </w:t>
      </w:r>
    </w:p>
    <w:p w:rsidR="00D37C9D" w:rsidRDefault="00D37C9D" w:rsidP="0029477C">
      <w:pPr>
        <w:tabs>
          <w:tab w:val="left" w:pos="5760"/>
        </w:tabs>
        <w:spacing w:after="0" w:line="240" w:lineRule="auto"/>
        <w:jc w:val="both"/>
      </w:pPr>
      <w:r>
        <w:t xml:space="preserve">Debemos destacar, además, los sustantivos </w:t>
      </w:r>
      <w:proofErr w:type="spellStart"/>
      <w:r>
        <w:t>bigéneres</w:t>
      </w:r>
      <w:proofErr w:type="spellEnd"/>
      <w:r>
        <w:t xml:space="preserve">, que también utilizan a veces el artículo masculino y a veces el femenino pero se diferencian de los anteriores en que la forma masculina y la femenina encierran significaciones distintas; por lo tanto, debemos decir que no se trata, en realidad, del mismo sustantivo: </w:t>
      </w:r>
    </w:p>
    <w:p w:rsidR="00D37C9D" w:rsidRDefault="00D37C9D" w:rsidP="0029477C">
      <w:pPr>
        <w:tabs>
          <w:tab w:val="left" w:pos="5760"/>
        </w:tabs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capital = el dinero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capital = la ciudad principal de un país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cura = el sacerdote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cura = el remedio, la salvación </w:t>
      </w:r>
    </w:p>
    <w:p w:rsidR="00D37C9D" w:rsidRPr="00333F99" w:rsidRDefault="00D37C9D" w:rsidP="00333F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33F99">
        <w:rPr>
          <w:b/>
        </w:rPr>
        <w:t>EL NÚMERO</w:t>
      </w:r>
    </w:p>
    <w:p w:rsidR="00D37C9D" w:rsidRDefault="00D37C9D" w:rsidP="00333F99">
      <w:pPr>
        <w:spacing w:after="0" w:line="240" w:lineRule="auto"/>
        <w:jc w:val="both"/>
      </w:pPr>
      <w:r>
        <w:t xml:space="preserve">Otra característica de los sustantivos es que pueden variar su número, es decir, pueden ser singulares o plurales: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mesa (singular) -&gt; las mesas (plural) </w:t>
      </w:r>
    </w:p>
    <w:p w:rsidR="00D37C9D" w:rsidRDefault="00D37C9D" w:rsidP="00333F99">
      <w:pPr>
        <w:spacing w:after="0" w:line="240" w:lineRule="auto"/>
        <w:jc w:val="both"/>
      </w:pPr>
      <w:r>
        <w:t xml:space="preserve">La principal marca de plural en español es la S, como se ve en el ejemplo anterior. Hay palabras, no obstante, que utilizan la terminación -ES: </w:t>
      </w:r>
    </w:p>
    <w:p w:rsidR="00D37C9D" w:rsidRDefault="00D37C9D" w:rsidP="00333F99">
      <w:pPr>
        <w:spacing w:after="0" w:line="240" w:lineRule="auto"/>
        <w:jc w:val="both"/>
      </w:pPr>
      <w:r>
        <w:t xml:space="preserve">-las agudas que terminan en vocal (bisturíes, bambúes, aes). Esto no sucede si esa última vocal es E (cafés, pies) para evitar que queden dos E juntas. </w:t>
      </w:r>
    </w:p>
    <w:p w:rsidR="00D37C9D" w:rsidRDefault="00D37C9D" w:rsidP="00333F99">
      <w:pPr>
        <w:spacing w:after="0" w:line="240" w:lineRule="auto"/>
        <w:jc w:val="both"/>
      </w:pPr>
      <w:r>
        <w:t xml:space="preserve">-las terminadas en consonante (relojes, paredes). Esto produce algunos cambios fonéticos, por ejemplo, las palabras terminadas en Z cambian a C en el plural por el contacto con la E (capaz -&gt; capaces); las terminadas en C adoptan la Q para el plural (clac -&gt; claques); la Y final, de sonido vocálico, pasa a tener sonido consonántico (rey -&gt; reyes). </w:t>
      </w:r>
    </w:p>
    <w:p w:rsidR="00D37C9D" w:rsidRDefault="00D37C9D" w:rsidP="00333F99">
      <w:pPr>
        <w:spacing w:after="0" w:line="240" w:lineRule="auto"/>
        <w:jc w:val="both"/>
      </w:pPr>
      <w:r>
        <w:t xml:space="preserve">-las palabras graves terminadas en -EN, que no llevan tilde, en plural se transforman en esdrújulas y deben agregar la tilde (examen -&gt; exámenes) </w:t>
      </w:r>
    </w:p>
    <w:p w:rsidR="00D37C9D" w:rsidRDefault="00D37C9D" w:rsidP="00333F99">
      <w:pPr>
        <w:spacing w:after="0" w:line="240" w:lineRule="auto"/>
        <w:jc w:val="both"/>
      </w:pPr>
      <w:r>
        <w:lastRenderedPageBreak/>
        <w:t xml:space="preserve">-las palabras esdrújulas terminadas en -EN retrasan un lugar la sílaba fuerte en el plural, de modo que continúan siendo esdrújulas y no pasan a sobreesdrújulas (espécimen -&gt; especímenes). </w:t>
      </w:r>
    </w:p>
    <w:p w:rsidR="00D37C9D" w:rsidRDefault="00D37C9D" w:rsidP="00333F99">
      <w:pPr>
        <w:spacing w:after="0" w:line="240" w:lineRule="auto"/>
        <w:jc w:val="both"/>
      </w:pPr>
      <w:r>
        <w:t xml:space="preserve">Por otra parte, encontramos palabras que no varían en plural, como las terminadas en -SIS o el caso particular de "caries":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el</w:t>
      </w:r>
      <w:proofErr w:type="gramEnd"/>
      <w:r>
        <w:t xml:space="preserve"> análisis -&gt; los análisis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crisis -&gt; las crisis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caries -&gt; las caries </w:t>
      </w:r>
    </w:p>
    <w:p w:rsidR="00D37C9D" w:rsidRDefault="00D37C9D" w:rsidP="00333F99">
      <w:pPr>
        <w:spacing w:after="0" w:line="240" w:lineRule="auto"/>
        <w:jc w:val="both"/>
      </w:pPr>
      <w:r>
        <w:t xml:space="preserve">Sucede del mismo modo con palabras de origen extranjero terminadas en dos consonantes, como bíceps (los bíceps), fórceps (los fórceps), etc. </w:t>
      </w:r>
    </w:p>
    <w:p w:rsidR="00D37C9D" w:rsidRDefault="00D37C9D" w:rsidP="00333F99">
      <w:pPr>
        <w:spacing w:after="0" w:line="240" w:lineRule="auto"/>
        <w:jc w:val="both"/>
      </w:pPr>
      <w:bookmarkStart w:id="0" w:name="_GoBack"/>
      <w:r>
        <w:t xml:space="preserve">Por último, es importante saber que los vocablos compuestos sólo indican el plural en el segundo elemento: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las</w:t>
      </w:r>
      <w:proofErr w:type="gramEnd"/>
      <w:r>
        <w:t xml:space="preserve"> aguafuertes, no </w:t>
      </w:r>
      <w:proofErr w:type="spellStart"/>
      <w:r>
        <w:t>aguasfuertes</w:t>
      </w:r>
      <w:proofErr w:type="spellEnd"/>
      <w:r>
        <w:t xml:space="preserve">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las</w:t>
      </w:r>
      <w:proofErr w:type="gramEnd"/>
      <w:r>
        <w:t xml:space="preserve"> medialunas, no </w:t>
      </w:r>
      <w:proofErr w:type="spellStart"/>
      <w:r>
        <w:t>mediaslunas</w:t>
      </w:r>
      <w:proofErr w:type="spellEnd"/>
      <w:r>
        <w:t xml:space="preserve"> </w:t>
      </w:r>
    </w:p>
    <w:p w:rsidR="00D37C9D" w:rsidRDefault="00D37C9D" w:rsidP="00333F99">
      <w:pPr>
        <w:spacing w:after="0" w:line="240" w:lineRule="auto"/>
        <w:jc w:val="both"/>
      </w:pPr>
      <w:proofErr w:type="gramStart"/>
      <w:r>
        <w:t>los</w:t>
      </w:r>
      <w:proofErr w:type="gramEnd"/>
      <w:r>
        <w:t xml:space="preserve"> sordomudos, no </w:t>
      </w:r>
      <w:proofErr w:type="spellStart"/>
      <w:r>
        <w:t>sordosmudos</w:t>
      </w:r>
      <w:proofErr w:type="spellEnd"/>
      <w:r>
        <w:t xml:space="preserve"> </w:t>
      </w:r>
    </w:p>
    <w:bookmarkEnd w:id="0"/>
    <w:p w:rsidR="00333F99" w:rsidRDefault="00333F99" w:rsidP="00333F99">
      <w:pPr>
        <w:spacing w:after="0" w:line="240" w:lineRule="auto"/>
        <w:jc w:val="both"/>
      </w:pPr>
    </w:p>
    <w:p w:rsidR="00333F99" w:rsidRDefault="00333F99" w:rsidP="00333F99">
      <w:pPr>
        <w:spacing w:after="0" w:line="240" w:lineRule="auto"/>
        <w:jc w:val="both"/>
      </w:pPr>
      <w:r>
        <w:t>ACTIVIDAD</w:t>
      </w:r>
    </w:p>
    <w:p w:rsidR="00333F99" w:rsidRDefault="00333F99" w:rsidP="00333F99">
      <w:pPr>
        <w:spacing w:after="0" w:line="240" w:lineRule="auto"/>
        <w:jc w:val="both"/>
      </w:pPr>
    </w:p>
    <w:p w:rsidR="00333F99" w:rsidRDefault="00333F99" w:rsidP="00333F99">
      <w:pPr>
        <w:spacing w:after="0" w:line="240" w:lineRule="auto"/>
        <w:jc w:val="both"/>
      </w:pPr>
      <w:r>
        <w:t>CLASIFICA LOS SUSTANTIVOS COMPLETANDO LA SIGUIENTE TABLA</w:t>
      </w:r>
    </w:p>
    <w:p w:rsidR="00333F99" w:rsidRDefault="00333F99" w:rsidP="00333F99">
      <w:pPr>
        <w:spacing w:after="0" w:line="240" w:lineRule="auto"/>
        <w:jc w:val="both"/>
      </w:pPr>
    </w:p>
    <w:p w:rsidR="00333F99" w:rsidRDefault="00333F99" w:rsidP="00333F99">
      <w:pPr>
        <w:spacing w:after="0" w:line="240" w:lineRule="auto"/>
        <w:jc w:val="both"/>
      </w:pPr>
      <w:r>
        <w:t xml:space="preserve">SUSTANTIVO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1"/>
        <w:gridCol w:w="952"/>
        <w:gridCol w:w="880"/>
        <w:gridCol w:w="857"/>
        <w:gridCol w:w="1091"/>
        <w:gridCol w:w="1220"/>
        <w:gridCol w:w="1058"/>
        <w:gridCol w:w="1323"/>
        <w:gridCol w:w="1365"/>
      </w:tblGrid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sustantivo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  <w:r>
              <w:t>número</w:t>
            </w: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  <w:r>
              <w:t>género</w:t>
            </w: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  <w:r>
              <w:t>propio común</w:t>
            </w: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  <w:r>
              <w:t>concreto abstracto</w:t>
            </w: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  <w:r>
              <w:t>individual colectivo</w:t>
            </w: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  <w:r>
              <w:t>primitivo derivado</w:t>
            </w: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  <w:r>
              <w:t>simples compuestos</w:t>
            </w: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  <w:r>
              <w:t>gentilicio patronímico</w:t>
            </w: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Amigo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Pueblo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Almas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Fe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Dolor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Horda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sustancia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Francisco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mellizos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Espejismo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Naturaleza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Chiloé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Chilote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Gutiérrez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Rata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Tropa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Arsenal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Holandesas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Computador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estudiante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águila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quitasol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Sordomudos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Medialuna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Paramédico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Jaurías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Gol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  <w:tr w:rsidR="00B96855" w:rsidTr="00B96855">
        <w:tc>
          <w:tcPr>
            <w:tcW w:w="1221" w:type="dxa"/>
          </w:tcPr>
          <w:p w:rsidR="00B96855" w:rsidRDefault="00B96855" w:rsidP="00333F99">
            <w:pPr>
              <w:jc w:val="both"/>
            </w:pPr>
            <w:r>
              <w:t>jirafa</w:t>
            </w:r>
          </w:p>
        </w:tc>
        <w:tc>
          <w:tcPr>
            <w:tcW w:w="952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8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857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91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220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058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23" w:type="dxa"/>
          </w:tcPr>
          <w:p w:rsidR="00B96855" w:rsidRDefault="00B96855" w:rsidP="00333F99">
            <w:pPr>
              <w:jc w:val="both"/>
            </w:pPr>
          </w:p>
        </w:tc>
        <w:tc>
          <w:tcPr>
            <w:tcW w:w="1365" w:type="dxa"/>
          </w:tcPr>
          <w:p w:rsidR="00B96855" w:rsidRDefault="00B96855" w:rsidP="00333F99">
            <w:pPr>
              <w:jc w:val="both"/>
            </w:pPr>
          </w:p>
        </w:tc>
      </w:tr>
    </w:tbl>
    <w:p w:rsidR="00333F99" w:rsidRDefault="00333F99" w:rsidP="00B96855">
      <w:pPr>
        <w:spacing w:after="0" w:line="240" w:lineRule="auto"/>
        <w:jc w:val="both"/>
      </w:pPr>
    </w:p>
    <w:sectPr w:rsidR="00333F99" w:rsidSect="00333F9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BEB"/>
    <w:multiLevelType w:val="hybridMultilevel"/>
    <w:tmpl w:val="E2EE6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9D"/>
    <w:rsid w:val="0029477C"/>
    <w:rsid w:val="00333F99"/>
    <w:rsid w:val="00810391"/>
    <w:rsid w:val="00A17A77"/>
    <w:rsid w:val="00B96855"/>
    <w:rsid w:val="00D37C9D"/>
    <w:rsid w:val="00F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F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F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2014-10-16T21:41:00Z</cp:lastPrinted>
  <dcterms:created xsi:type="dcterms:W3CDTF">2014-10-20T19:51:00Z</dcterms:created>
  <dcterms:modified xsi:type="dcterms:W3CDTF">2014-10-20T19:51:00Z</dcterms:modified>
</cp:coreProperties>
</file>